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BF" w:rsidRDefault="003848BF" w:rsidP="007A14F3">
      <w:pPr>
        <w:spacing w:after="0" w:line="256" w:lineRule="auto"/>
        <w:jc w:val="center"/>
        <w:rPr>
          <w:rFonts w:ascii="&amp;quot" w:eastAsia="Times New Roman" w:hAnsi="&amp;quot" w:cs="Calibri"/>
          <w:b/>
          <w:color w:val="000000"/>
          <w:sz w:val="20"/>
          <w:szCs w:val="20"/>
          <w:bdr w:val="none" w:sz="0" w:space="0" w:color="auto" w:frame="1"/>
          <w:lang w:eastAsia="es-CR"/>
        </w:rPr>
      </w:pPr>
    </w:p>
    <w:p w:rsidR="007A14F3" w:rsidRPr="007A14F3" w:rsidRDefault="007A14F3" w:rsidP="007A14F3">
      <w:pPr>
        <w:spacing w:after="0" w:line="256" w:lineRule="auto"/>
        <w:jc w:val="center"/>
        <w:rPr>
          <w:rFonts w:ascii="Calibri" w:eastAsia="Times New Roman" w:hAnsi="Calibri" w:cs="Calibri"/>
          <w:b/>
          <w:color w:val="000000"/>
          <w:lang w:eastAsia="es-CR"/>
        </w:rPr>
      </w:pPr>
      <w:r w:rsidRPr="007A14F3">
        <w:rPr>
          <w:rFonts w:ascii="&amp;quot" w:eastAsia="Times New Roman" w:hAnsi="&amp;quot" w:cs="Calibri"/>
          <w:b/>
          <w:color w:val="000000"/>
          <w:sz w:val="20"/>
          <w:szCs w:val="20"/>
          <w:bdr w:val="none" w:sz="0" w:space="0" w:color="auto" w:frame="1"/>
          <w:lang w:eastAsia="es-CR"/>
        </w:rPr>
        <w:t xml:space="preserve">El </w:t>
      </w:r>
      <w:r w:rsidRPr="007A14F3">
        <w:rPr>
          <w:rFonts w:ascii="&amp;quot" w:eastAsia="Times New Roman" w:hAnsi="&amp;quot" w:cs="Calibri"/>
          <w:b/>
          <w:bCs/>
          <w:color w:val="000000"/>
          <w:sz w:val="20"/>
          <w:szCs w:val="20"/>
          <w:bdr w:val="none" w:sz="0" w:space="0" w:color="auto" w:frame="1"/>
          <w:lang w:eastAsia="es-CR"/>
        </w:rPr>
        <w:t>trabajo autónomo</w:t>
      </w:r>
      <w:r w:rsidRPr="007A14F3">
        <w:rPr>
          <w:rFonts w:ascii="&amp;quot" w:eastAsia="Times New Roman" w:hAnsi="&amp;quot" w:cs="Calibri"/>
          <w:b/>
          <w:color w:val="000000"/>
          <w:sz w:val="20"/>
          <w:szCs w:val="20"/>
          <w:bdr w:val="none" w:sz="0" w:space="0" w:color="auto" w:frame="1"/>
          <w:lang w:eastAsia="es-CR"/>
        </w:rPr>
        <w:t xml:space="preserve"> es la capacidad de realizar tareas por nosotros mismos, sin necesidad de que nuestros/as docentes estén presentes.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7A14F3" w:rsidRPr="007A14F3" w:rsidTr="000033F4">
        <w:tc>
          <w:tcPr>
            <w:tcW w:w="1005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 xml:space="preserve">Centro Educativo: </w:t>
            </w:r>
          </w:p>
          <w:p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 xml:space="preserve">Educador/a: </w:t>
            </w:r>
          </w:p>
          <w:p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 xml:space="preserve">Nivel: </w:t>
            </w:r>
          </w:p>
          <w:p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>Asignatura:</w:t>
            </w:r>
          </w:p>
        </w:tc>
      </w:tr>
    </w:tbl>
    <w:p w:rsidR="007A14F3" w:rsidRPr="007A14F3" w:rsidRDefault="007A14F3" w:rsidP="007A14F3">
      <w:pPr>
        <w:tabs>
          <w:tab w:val="center" w:pos="4419"/>
          <w:tab w:val="right" w:pos="88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A14F3" w:rsidRPr="007A14F3" w:rsidRDefault="00DA29A2" w:rsidP="007A14F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Ficha de auto-trabajo2</w:t>
      </w:r>
    </w:p>
    <w:p w:rsidR="007A14F3" w:rsidRPr="007A14F3" w:rsidRDefault="007A14F3" w:rsidP="007A14F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A14F3">
        <w:rPr>
          <w:rFonts w:cstheme="minorHAnsi"/>
          <w:b/>
          <w:sz w:val="32"/>
          <w:szCs w:val="32"/>
        </w:rPr>
        <w:t>Educación Cívica</w:t>
      </w:r>
    </w:p>
    <w:p w:rsidR="007A14F3" w:rsidRPr="007A14F3" w:rsidRDefault="007A14F3" w:rsidP="007A14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A14F3" w:rsidRPr="007A14F3" w:rsidRDefault="007A14F3" w:rsidP="007A14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A14F3">
        <w:rPr>
          <w:rFonts w:cstheme="minorHAnsi"/>
          <w:b/>
          <w:sz w:val="28"/>
          <w:szCs w:val="28"/>
        </w:rPr>
        <w:t>Unidad 9 AÑO, Primera Unidad, “Las personas jóvenes ejercemos participación y representación”</w:t>
      </w:r>
    </w:p>
    <w:p w:rsidR="007A14F3" w:rsidRPr="007A14F3" w:rsidRDefault="007A14F3" w:rsidP="007A14F3">
      <w:pPr>
        <w:tabs>
          <w:tab w:val="left" w:pos="1095"/>
        </w:tabs>
        <w:rPr>
          <w:b/>
          <w:i/>
        </w:rPr>
      </w:pPr>
      <w:r w:rsidRPr="007A14F3">
        <w:rPr>
          <w:b/>
          <w:i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898"/>
      </w:tblGrid>
      <w:tr w:rsidR="00C45B34" w:rsidTr="00A51FE6">
        <w:tc>
          <w:tcPr>
            <w:tcW w:w="7083" w:type="dxa"/>
          </w:tcPr>
          <w:p w:rsidR="00C45B34" w:rsidRDefault="00C45B34" w:rsidP="00C45B3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</w:pP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Saludos cordiales, esta nueva forma de acercarnos al conocimiento es una valiosa oportunid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ad de descubrir temas y conocimientos</w:t>
            </w: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 xml:space="preserve"> novedosos, la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Educación Cívica nos puede</w:t>
            </w: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 xml:space="preserve"> aportar grandes lecciones en estos tiempos y tenemos que aprovecharlas. </w:t>
            </w:r>
          </w:p>
          <w:p w:rsidR="00C45B34" w:rsidRPr="0065075A" w:rsidRDefault="00C45B34" w:rsidP="00C45B3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</w:pPr>
          </w:p>
          <w:p w:rsidR="00C45B34" w:rsidRPr="0065075A" w:rsidRDefault="00C45B34" w:rsidP="00C45B34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En esta Guía de Trabajo A</w:t>
            </w: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utónomo, vamos a desarrollar</w:t>
            </w:r>
            <w:r w:rsidR="00A51FE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 xml:space="preserve"> parte</w:t>
            </w: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 xml:space="preserve"> </w:t>
            </w:r>
            <w:r w:rsidR="00A51FE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d</w:t>
            </w: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el tema “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Las personas jóvenes ejercemos participación y representación</w:t>
            </w:r>
            <w:r w:rsidRPr="0065075A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”, nuestro compañero en este camino será Pedro.</w:t>
            </w:r>
          </w:p>
          <w:p w:rsidR="00C45B34" w:rsidRDefault="00C45B34" w:rsidP="0065075A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</w:pPr>
          </w:p>
        </w:tc>
        <w:tc>
          <w:tcPr>
            <w:tcW w:w="2898" w:type="dxa"/>
          </w:tcPr>
          <w:p w:rsidR="00C45B34" w:rsidRDefault="00C45B34" w:rsidP="0065075A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8"/>
                <w:lang w:eastAsia="es-CR"/>
              </w:rPr>
              <w:drawing>
                <wp:inline distT="0" distB="0" distL="0" distR="0">
                  <wp:extent cx="1543050" cy="15430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dro salud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75A" w:rsidRDefault="0065075A" w:rsidP="006507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s-CR"/>
        </w:rPr>
      </w:pPr>
    </w:p>
    <w:p w:rsidR="007A14F3" w:rsidRDefault="007A14F3" w:rsidP="006507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Contenido procedimental:</w:t>
      </w:r>
      <w:r w:rsidRPr="007A14F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Análisis crítico de las formas de participación de las personas jóvenes, para la práctica actitudes éticas, estéticas y ciudadanas en la institución educativa, la comunidad y el país.</w:t>
      </w:r>
    </w:p>
    <w:p w:rsidR="00A51FE6" w:rsidRDefault="00A51FE6" w:rsidP="006507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51FE6" w:rsidRDefault="00A51FE6" w:rsidP="00A51FE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448"/>
      </w:tblGrid>
      <w:tr w:rsidR="00A51FE6" w:rsidTr="00A51FE6">
        <w:trPr>
          <w:jc w:val="center"/>
        </w:trPr>
        <w:tc>
          <w:tcPr>
            <w:tcW w:w="2199" w:type="dxa"/>
          </w:tcPr>
          <w:p w:rsidR="00A51FE6" w:rsidRDefault="00A51FE6" w:rsidP="00306CD5">
            <w:pPr>
              <w:rPr>
                <w:rFonts w:ascii="Franklin Gothic Heavy" w:eastAsia="Times New Roman" w:hAnsi="Franklin Gothic Heavy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Franklin Gothic Heavy" w:eastAsia="Times New Roman" w:hAnsi="Franklin Gothic Heavy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 wp14:anchorId="08EDC539" wp14:editId="24B3D062">
                  <wp:extent cx="1266825" cy="12668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dro se lava las manos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</w:tcPr>
          <w:p w:rsidR="00A51FE6" w:rsidRPr="00130D87" w:rsidRDefault="00A51FE6" w:rsidP="00306CD5">
            <w:pPr>
              <w:jc w:val="both"/>
              <w:rPr>
                <w:rFonts w:ascii="Impact" w:eastAsia="Times New Roman" w:hAnsi="Impact" w:cs="Calibri"/>
                <w:color w:val="000000"/>
                <w:sz w:val="24"/>
                <w:szCs w:val="24"/>
                <w:lang w:eastAsia="es-CR"/>
              </w:rPr>
            </w:pPr>
          </w:p>
          <w:p w:rsidR="00A51FE6" w:rsidRPr="00130D87" w:rsidRDefault="00A51FE6" w:rsidP="00306CD5">
            <w:pPr>
              <w:jc w:val="both"/>
              <w:rPr>
                <w:rFonts w:ascii="Impact" w:eastAsia="Times New Roman" w:hAnsi="Impact" w:cs="Calibri"/>
                <w:color w:val="000000"/>
                <w:sz w:val="24"/>
                <w:szCs w:val="24"/>
                <w:lang w:eastAsia="es-CR"/>
              </w:rPr>
            </w:pPr>
          </w:p>
          <w:p w:rsidR="00A51FE6" w:rsidRPr="00A51FE6" w:rsidRDefault="00A51FE6" w:rsidP="00A51F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</w:pPr>
            <w:r w:rsidRPr="00A51FE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s-CR"/>
              </w:rPr>
              <w:t>Al igual que Pedro, siempre que vamos a iniciar cualquier actividad, lo primero que debemos hacer es lavarnos las manos.</w:t>
            </w:r>
          </w:p>
          <w:p w:rsidR="00A51FE6" w:rsidRPr="00130D87" w:rsidRDefault="00A51FE6" w:rsidP="00306CD5">
            <w:pPr>
              <w:jc w:val="both"/>
              <w:rPr>
                <w:rFonts w:ascii="Impact" w:eastAsia="Times New Roman" w:hAnsi="Impact" w:cs="Calibri"/>
                <w:color w:val="000000"/>
                <w:sz w:val="24"/>
                <w:szCs w:val="24"/>
                <w:lang w:eastAsia="es-CR"/>
              </w:rPr>
            </w:pPr>
          </w:p>
          <w:p w:rsidR="00A51FE6" w:rsidRPr="00130D87" w:rsidRDefault="00A51FE6" w:rsidP="00306CD5">
            <w:pPr>
              <w:jc w:val="both"/>
              <w:rPr>
                <w:rFonts w:ascii="Impact" w:eastAsia="Times New Roman" w:hAnsi="Impact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7A14F3" w:rsidRPr="007A14F3" w:rsidRDefault="007A14F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624CFA" w:rsidRDefault="00624CFA" w:rsidP="00624CFA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bookmarkStart w:id="0" w:name="_GoBack"/>
      <w:bookmarkEnd w:id="0"/>
    </w:p>
    <w:p w:rsidR="007A14F3" w:rsidRPr="007A14F3" w:rsidRDefault="007A14F3" w:rsidP="007A14F3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focalización o concientización desde los contextos y los aprendizajes de las personas.</w:t>
      </w:r>
    </w:p>
    <w:p w:rsidR="007A14F3" w:rsidRPr="007A14F3" w:rsidRDefault="007A14F3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0E3EE9" w:rsidRDefault="000E3EE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Antes de iniciar este proceso de aprendizaje es necesario que conozcamos algunos conceptos que son importantes para el desarrollo de este tema.</w:t>
      </w:r>
    </w:p>
    <w:p w:rsidR="000E3EE9" w:rsidRDefault="000E3EE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662"/>
      </w:tblGrid>
      <w:tr w:rsidR="000E3EE9" w:rsidTr="0058256B">
        <w:tc>
          <w:tcPr>
            <w:tcW w:w="2612" w:type="dxa"/>
          </w:tcPr>
          <w:p w:rsidR="000E3EE9" w:rsidRP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Ciudadanía</w:t>
            </w:r>
          </w:p>
        </w:tc>
        <w:tc>
          <w:tcPr>
            <w:tcW w:w="6662" w:type="dxa"/>
          </w:tcPr>
          <w:p w:rsid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Ciudadanía se refiere al conjunto de derechos y deberes a los cuales el ciudadano o individuo está sujeto en su relación con la sociedad en que vive.</w:t>
            </w:r>
          </w:p>
          <w:p w:rsid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El término ciudadanía proviene del latín </w:t>
            </w:r>
            <w:proofErr w:type="spellStart"/>
            <w:r w:rsidRPr="0058256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s-CR"/>
              </w:rPr>
              <w:t>civitas</w:t>
            </w:r>
            <w:proofErr w:type="spellEnd"/>
            <w:r w:rsidRPr="000E3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, que significa 'ciudad'. Por tanto, ciudadanía es la condición que se otorga al ciudadano de ser miembro de una comunidad organizada.</w:t>
            </w:r>
          </w:p>
          <w:p w:rsid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0E3EE9" w:rsidTr="0058256B">
        <w:tc>
          <w:tcPr>
            <w:tcW w:w="2612" w:type="dxa"/>
          </w:tcPr>
          <w:p w:rsidR="000E3EE9" w:rsidRP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Ciudadanía joven</w:t>
            </w:r>
          </w:p>
        </w:tc>
        <w:tc>
          <w:tcPr>
            <w:tcW w:w="6662" w:type="dxa"/>
          </w:tcPr>
          <w:p w:rsid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Incluye los mismos componentes de la ciudadanía con la excepción de la participación </w:t>
            </w:r>
            <w:r w:rsidR="005F2C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del derecho a elegir y ser electo, estos derechos se adquieren con la mayoría de edad.</w:t>
            </w:r>
          </w:p>
          <w:p w:rsidR="005F2C06" w:rsidRDefault="005F2C06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0E3EE9" w:rsidTr="0058256B">
        <w:tc>
          <w:tcPr>
            <w:tcW w:w="2612" w:type="dxa"/>
          </w:tcPr>
          <w:p w:rsidR="000E3EE9" w:rsidRP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Comunidad educativa</w:t>
            </w:r>
          </w:p>
        </w:tc>
        <w:tc>
          <w:tcPr>
            <w:tcW w:w="6662" w:type="dxa"/>
          </w:tcPr>
          <w:p w:rsidR="000E3EE9" w:rsidRDefault="005F2C06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Es la comunidad formada por la población estudiantil, </w:t>
            </w:r>
            <w:r w:rsidR="00762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el personal docente y administrativo y los padres, madres y encargados del estudiantado.</w:t>
            </w:r>
          </w:p>
          <w:p w:rsidR="00762834" w:rsidRDefault="00762834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0E3EE9" w:rsidTr="0058256B">
        <w:tc>
          <w:tcPr>
            <w:tcW w:w="2612" w:type="dxa"/>
          </w:tcPr>
          <w:p w:rsidR="000E3EE9" w:rsidRP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Diálogo</w:t>
            </w:r>
          </w:p>
        </w:tc>
        <w:tc>
          <w:tcPr>
            <w:tcW w:w="6662" w:type="dxa"/>
          </w:tcPr>
          <w:p w:rsidR="000E3EE9" w:rsidRDefault="00762834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Competencia que permite el intercambio de comunicación con respeto y atención. Supone razonar, discernir, decidir y actuar conforme se considere mejor para la convivencia social.</w:t>
            </w:r>
          </w:p>
          <w:p w:rsidR="00762834" w:rsidRDefault="00762834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0E3EE9" w:rsidTr="0058256B">
        <w:tc>
          <w:tcPr>
            <w:tcW w:w="2612" w:type="dxa"/>
          </w:tcPr>
          <w:p w:rsidR="000E3EE9" w:rsidRPr="000E3EE9" w:rsidRDefault="000E3EE9" w:rsidP="007A14F3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0E3E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 xml:space="preserve">Liderazgo </w:t>
            </w:r>
          </w:p>
        </w:tc>
        <w:tc>
          <w:tcPr>
            <w:tcW w:w="6662" w:type="dxa"/>
          </w:tcPr>
          <w:p w:rsidR="000E3EE9" w:rsidRDefault="00762834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Capacidad de dirigir o persuadir a las </w:t>
            </w:r>
            <w:r w:rsidR="005825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personas que se deriva de la interacción de las cualidades personales con un contexto específico de interacción.</w:t>
            </w:r>
          </w:p>
          <w:p w:rsidR="0058256B" w:rsidRDefault="0058256B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0E3EE9" w:rsidRDefault="000E3EE9" w:rsidP="00C43AA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8"/>
        <w:gridCol w:w="2435"/>
      </w:tblGrid>
      <w:tr w:rsidR="00716F2A" w:rsidTr="00C43AAF">
        <w:tc>
          <w:tcPr>
            <w:tcW w:w="7148" w:type="dxa"/>
          </w:tcPr>
          <w:p w:rsidR="00C43AAF" w:rsidRDefault="00C43AAF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C43AAF" w:rsidRDefault="00716F2A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Después de leer con calma los conceptos, vamos a resolver una serie de actividades que nos permitirán repasar y reforzar los conocimientos sobre este tema, un tema q</w:t>
            </w:r>
            <w:r w:rsidR="00C43A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ue justamente hoy es necesario.</w:t>
            </w:r>
          </w:p>
          <w:p w:rsidR="00C43AAF" w:rsidRDefault="00C43AAF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716F2A" w:rsidRDefault="00716F2A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Pedro nos va a ayudar, él</w:t>
            </w:r>
            <w:r w:rsidR="00C43A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, como vos,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quiere ser un ciudadano joven responsable con su comunidad y con su colegio.</w:t>
            </w:r>
          </w:p>
        </w:tc>
        <w:tc>
          <w:tcPr>
            <w:tcW w:w="2435" w:type="dxa"/>
          </w:tcPr>
          <w:p w:rsidR="00716F2A" w:rsidRDefault="00C43AAF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1362075" cy="13620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dro y los libro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F2A" w:rsidRDefault="00716F2A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C43AAF" w:rsidRDefault="009F4FC8" w:rsidP="00A51FE6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¿Cuáles son algunos derechos que tenemos todos los costarricenses? Anotemos cuatro de ellos en el espacio a continuación.</w:t>
      </w:r>
    </w:p>
    <w:p w:rsidR="009F4FC8" w:rsidRDefault="00AB4465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8BA7" wp14:editId="5603461B">
                <wp:simplePos x="0" y="0"/>
                <wp:positionH relativeFrom="column">
                  <wp:posOffset>590550</wp:posOffset>
                </wp:positionH>
                <wp:positionV relativeFrom="paragraph">
                  <wp:posOffset>54610</wp:posOffset>
                </wp:positionV>
                <wp:extent cx="5829300" cy="13430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343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8D4843" id="Rectángulo redondeado 6" o:spid="_x0000_s1026" style="position:absolute;margin-left:46.5pt;margin-top:4.3pt;width:459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" fillcolor="#c5e0b3 [1305]" strokecolor="#1f4d78 [1604]" strokeweight="1pt">
                <v:stroke joinstyle="miter"/>
              </v:roundrect>
            </w:pict>
          </mc:Fallback>
        </mc:AlternateContent>
      </w:r>
    </w:p>
    <w:p w:rsidR="009F4FC8" w:rsidRDefault="009F4FC8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9F4FC8" w:rsidRDefault="009F4FC8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9F4FC8" w:rsidRDefault="009F4FC8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9F4FC8" w:rsidRDefault="009F4FC8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9F4FC8" w:rsidRDefault="009F4FC8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9F4FC8" w:rsidRDefault="009F4FC8" w:rsidP="009F4FC8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9F4FC8" w:rsidRDefault="009F4FC8" w:rsidP="00AB4465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A51FE6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A partir de los derechos que anotamos anteriormente, expliquemos qué hace un buen ciudadano para vivir estos derechos y para ayudar a que los demás ciudadanos también los vivan.</w:t>
      </w: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952D" wp14:editId="697E8316">
                <wp:simplePos x="0" y="0"/>
                <wp:positionH relativeFrom="column">
                  <wp:posOffset>561975</wp:posOffset>
                </wp:positionH>
                <wp:positionV relativeFrom="paragraph">
                  <wp:posOffset>156211</wp:posOffset>
                </wp:positionV>
                <wp:extent cx="5829300" cy="125730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57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A1F98AA" id="Rectángulo redondeado 7" o:spid="_x0000_s1026" style="position:absolute;margin-left:44.25pt;margin-top:12.3pt;width:459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" fillcolor="#c5e0b3 [1305]" strokecolor="#1f4d78 [1604]" strokeweight="1pt">
                <v:stroke joinstyle="miter"/>
              </v:roundrect>
            </w:pict>
          </mc:Fallback>
        </mc:AlternateContent>
      </w: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F2370" w:rsidRDefault="004F2370" w:rsidP="004F2370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Default="007A3087" w:rsidP="007A3087">
      <w:pPr>
        <w:pStyle w:val="Prrafodelista"/>
        <w:numPr>
          <w:ilvl w:val="0"/>
          <w:numId w:val="1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¿Conocemos a fondo nuestra comunidad educativa</w:t>
      </w:r>
      <w:r w:rsidR="00760B4A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? Vamos a anotar algunos datos que nos pueden ayudar a conocerla mejor.</w:t>
      </w:r>
    </w:p>
    <w:p w:rsidR="00AB4465" w:rsidRDefault="00AB4465" w:rsidP="00760B4A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jc w:val="righ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248"/>
        <w:gridCol w:w="5035"/>
      </w:tblGrid>
      <w:tr w:rsidR="00AB4465" w:rsidTr="00584786">
        <w:trPr>
          <w:trHeight w:val="586"/>
          <w:jc w:val="right"/>
        </w:trPr>
        <w:tc>
          <w:tcPr>
            <w:tcW w:w="4248" w:type="dxa"/>
            <w:shd w:val="clear" w:color="auto" w:fill="A8D08D" w:themeFill="accent6" w:themeFillTint="99"/>
          </w:tcPr>
          <w:p w:rsidR="00AB4465" w:rsidRP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B446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Nombre de mi Institución Educativa: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:rsid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B4465" w:rsidTr="00584786">
        <w:trPr>
          <w:trHeight w:val="586"/>
          <w:jc w:val="right"/>
        </w:trPr>
        <w:tc>
          <w:tcPr>
            <w:tcW w:w="4248" w:type="dxa"/>
            <w:shd w:val="clear" w:color="auto" w:fill="A8D08D" w:themeFill="accent6" w:themeFillTint="99"/>
          </w:tcPr>
          <w:p w:rsidR="00AB4465" w:rsidRP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B446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Nombre de la Directora o Director: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:rsid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B4465" w:rsidTr="00584786">
        <w:trPr>
          <w:trHeight w:val="586"/>
          <w:jc w:val="right"/>
        </w:trPr>
        <w:tc>
          <w:tcPr>
            <w:tcW w:w="4248" w:type="dxa"/>
            <w:shd w:val="clear" w:color="auto" w:fill="A8D08D" w:themeFill="accent6" w:themeFillTint="99"/>
          </w:tcPr>
          <w:p w:rsidR="00AB4465" w:rsidRP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B446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Nombre de dos personas líderes de mi Institución Educativa: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:rsid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B4465" w:rsidTr="00584786">
        <w:trPr>
          <w:trHeight w:val="586"/>
          <w:jc w:val="right"/>
        </w:trPr>
        <w:tc>
          <w:tcPr>
            <w:tcW w:w="4248" w:type="dxa"/>
            <w:shd w:val="clear" w:color="auto" w:fill="A8D08D" w:themeFill="accent6" w:themeFillTint="99"/>
          </w:tcPr>
          <w:p w:rsidR="00AB4465" w:rsidRP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B446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Dos espacios de mi Institución Educativa donde compartimos y convivimos</w:t>
            </w:r>
            <w:r w:rsidR="005847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:rsidR="00AB4465" w:rsidRDefault="00AB4465" w:rsidP="00760B4A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B4465" w:rsidRPr="00760B4A" w:rsidRDefault="00AB4465" w:rsidP="00760B4A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17F88" w:rsidRPr="007A14F3" w:rsidRDefault="00417F88" w:rsidP="00A51FE6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>Fase de acercamiento al contenido curricular.</w:t>
      </w:r>
    </w:p>
    <w:p w:rsid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757"/>
      </w:tblGrid>
      <w:tr w:rsidR="00F76A19" w:rsidTr="00F76A19">
        <w:tc>
          <w:tcPr>
            <w:tcW w:w="5245" w:type="dxa"/>
          </w:tcPr>
          <w:p w:rsidR="00F76A19" w:rsidRDefault="00F76A19" w:rsidP="00F76A1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Para continuar con nuestro análisis, vamos a observar con atención el siguiente video en compañía de Pedro</w:t>
            </w:r>
          </w:p>
          <w:p w:rsidR="00F76A19" w:rsidRDefault="00F76A19" w:rsidP="00F76A1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F76A19" w:rsidRDefault="00B34DAE" w:rsidP="00F76A19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hyperlink r:id="rId11" w:history="1">
              <w:r w:rsidR="00F76A19">
                <w:rPr>
                  <w:rStyle w:val="Hipervnculo"/>
                </w:rPr>
                <w:t>https://www.youtube.com/watch?v=zpOhVVz7wBs</w:t>
              </w:r>
            </w:hyperlink>
          </w:p>
        </w:tc>
        <w:tc>
          <w:tcPr>
            <w:tcW w:w="2757" w:type="dxa"/>
          </w:tcPr>
          <w:p w:rsidR="00F76A19" w:rsidRDefault="00F76A19" w:rsidP="00F76A19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1143000" cy="114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dro en la televisión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19" w:rsidRDefault="00BA5B7C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Hablemos un poco más sobre los gobiernos estudiantiles</w:t>
      </w:r>
      <w:r w:rsidR="003D18D9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…</w:t>
      </w:r>
    </w:p>
    <w:p w:rsidR="00BA5B7C" w:rsidRDefault="00BA5B7C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A5B7C" w:rsidTr="00BA5B7C">
        <w:tc>
          <w:tcPr>
            <w:tcW w:w="5035" w:type="dxa"/>
            <w:shd w:val="clear" w:color="auto" w:fill="E2EFD9" w:themeFill="accent6" w:themeFillTint="33"/>
          </w:tcPr>
          <w:p w:rsidR="00BA5B7C" w:rsidRP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Son los/as compañeros/as que nos representan a toda la población estudiantil y para escogerlos/as lo hacemos por medio del voto secreto…es decir, si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n que nadie sepa por quién estamos</w:t>
            </w: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votando</w:t>
            </w:r>
          </w:p>
          <w:p w:rsidR="00BA5B7C" w:rsidRP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BA5B7C" w:rsidRP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Recordemos que para estos puestos debe haber representación de ambos sexos, designando en forma alternada cada uno de ellos, por ejemplo: hombre –mujer, hombre –mujer o viceversa mujer –hombre, mujer hombre y así sucesivamente.</w:t>
            </w:r>
          </w:p>
          <w:p w:rsid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35" w:type="dxa"/>
          </w:tcPr>
          <w:p w:rsidR="00BA5B7C" w:rsidRDefault="00BA5B7C" w:rsidP="00BA5B7C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1971675" cy="20955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dro investiga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9413" cy="212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B7C" w:rsidTr="00BA5B7C">
        <w:tc>
          <w:tcPr>
            <w:tcW w:w="5035" w:type="dxa"/>
          </w:tcPr>
          <w:p w:rsidR="00BA5B7C" w:rsidRDefault="00BA5B7C" w:rsidP="003D18D9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2105025" cy="210502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edro lee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shd w:val="clear" w:color="auto" w:fill="E2EFD9" w:themeFill="accent6" w:themeFillTint="33"/>
          </w:tcPr>
          <w:p w:rsidR="00BA5B7C" w:rsidRP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Cuando 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ablamos de Gobierno Estudiantil</w:t>
            </w: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nos referimos a:</w:t>
            </w:r>
          </w:p>
          <w:p w:rsidR="00BA5B7C" w:rsidRP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BA5B7C" w:rsidRPr="00BA5B7C" w:rsidRDefault="00BA5B7C" w:rsidP="00BA5B7C">
            <w:pPr>
              <w:pStyle w:val="Prrafodelista"/>
              <w:numPr>
                <w:ilvl w:val="0"/>
                <w:numId w:val="18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Las Directivas de Sección</w:t>
            </w:r>
          </w:p>
          <w:p w:rsidR="00BA5B7C" w:rsidRPr="00BA5B7C" w:rsidRDefault="00BA5B7C" w:rsidP="00BA5B7C">
            <w:pPr>
              <w:pStyle w:val="Prrafodelista"/>
              <w:numPr>
                <w:ilvl w:val="0"/>
                <w:numId w:val="18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La Asamblea de Representantes</w:t>
            </w:r>
          </w:p>
          <w:p w:rsidR="00BA5B7C" w:rsidRPr="00BA5B7C" w:rsidRDefault="00BA5B7C" w:rsidP="00BA5B7C">
            <w:pPr>
              <w:pStyle w:val="Prrafodelista"/>
              <w:numPr>
                <w:ilvl w:val="0"/>
                <w:numId w:val="18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El Comité Ejecutivo</w:t>
            </w:r>
          </w:p>
          <w:p w:rsidR="00BA5B7C" w:rsidRP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BA5B7C" w:rsidRDefault="00BA5B7C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BA5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En el Gobierno Estudiantil podemos participar todos y todas los y las estudiantes que asistimos de forma regular al Centro Educativo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.</w:t>
            </w:r>
          </w:p>
          <w:p w:rsidR="003D18D9" w:rsidRDefault="003D18D9" w:rsidP="00BA5B7C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3D18D9" w:rsidRDefault="003D18D9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6198B" w:rsidRDefault="003D18D9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Podemos ampliar todavía más esta información </w:t>
      </w:r>
      <w:r w:rsidR="00D83BF6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visitando este sitio:</w:t>
      </w:r>
    </w:p>
    <w:p w:rsidR="00E6198B" w:rsidRDefault="00E6198B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A5B7C" w:rsidRPr="007A14F3" w:rsidRDefault="00B34DAE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hyperlink r:id="rId15" w:history="1">
        <w:r w:rsidR="003D18D9">
          <w:rPr>
            <w:rStyle w:val="Hipervnculo"/>
          </w:rPr>
          <w:t>http://www.vidaestudiantil.mep.go.cr/gobierno-estudiantil</w:t>
        </w:r>
      </w:hyperlink>
    </w:p>
    <w:p w:rsidR="00E6198B" w:rsidRDefault="00E6198B" w:rsidP="00E6198B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3A0A8A" w:rsidRDefault="00E6198B" w:rsidP="00E6198B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Como vimos en el video y en la lectura, las elecciones estudiantiles son un importante espacio de participación para las personas jóvenes y nos permiten por así decirlo “entrenar” para participar </w:t>
      </w:r>
      <w:r w:rsidR="003A0A8A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en los procesos electorales municipales y nacionales, resolvamos algunas actividades.</w:t>
      </w:r>
    </w:p>
    <w:p w:rsidR="00E6198B" w:rsidRDefault="00E6198B" w:rsidP="00E6198B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3A0A8A" w:rsidRDefault="003A0A8A" w:rsidP="003A0A8A">
      <w:pPr>
        <w:pStyle w:val="Prrafodelista"/>
        <w:numPr>
          <w:ilvl w:val="0"/>
          <w:numId w:val="1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Recordemos el último proceso electoral de nuestra Institución y respondamos las siguientes interrogantes.</w:t>
      </w:r>
    </w:p>
    <w:p w:rsidR="003A0A8A" w:rsidRDefault="003A0A8A" w:rsidP="003A0A8A">
      <w:pPr>
        <w:pStyle w:val="Prrafodelista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5113"/>
      </w:tblGrid>
      <w:tr w:rsidR="003A0A8A" w:rsidTr="00B80FB2">
        <w:trPr>
          <w:trHeight w:val="586"/>
        </w:trPr>
        <w:tc>
          <w:tcPr>
            <w:tcW w:w="4957" w:type="dxa"/>
            <w:shd w:val="clear" w:color="auto" w:fill="70AD47" w:themeFill="accent6"/>
          </w:tcPr>
          <w:p w:rsidR="003A0A8A" w:rsidRPr="00B80FB2" w:rsidRDefault="003A0A8A" w:rsidP="003A0A8A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B80F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¿Cómo se llamaba el partido ganador?</w:t>
            </w:r>
          </w:p>
        </w:tc>
        <w:tc>
          <w:tcPr>
            <w:tcW w:w="5113" w:type="dxa"/>
            <w:shd w:val="clear" w:color="auto" w:fill="E2EFD9" w:themeFill="accent6" w:themeFillTint="33"/>
          </w:tcPr>
          <w:p w:rsidR="003A0A8A" w:rsidRDefault="003A0A8A" w:rsidP="003A0A8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3A0A8A" w:rsidTr="00B80FB2">
        <w:trPr>
          <w:trHeight w:val="586"/>
        </w:trPr>
        <w:tc>
          <w:tcPr>
            <w:tcW w:w="4957" w:type="dxa"/>
            <w:shd w:val="clear" w:color="auto" w:fill="70AD47" w:themeFill="accent6"/>
          </w:tcPr>
          <w:p w:rsidR="003A0A8A" w:rsidRPr="00B80FB2" w:rsidRDefault="003A0A8A" w:rsidP="003A0A8A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B80F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¿Cuál es el nombre del compañero o compañera que ganó la Presidencia?</w:t>
            </w:r>
          </w:p>
        </w:tc>
        <w:tc>
          <w:tcPr>
            <w:tcW w:w="5113" w:type="dxa"/>
            <w:shd w:val="clear" w:color="auto" w:fill="E2EFD9" w:themeFill="accent6" w:themeFillTint="33"/>
          </w:tcPr>
          <w:p w:rsidR="003A0A8A" w:rsidRDefault="003A0A8A" w:rsidP="003A0A8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3A0A8A" w:rsidTr="00B80FB2">
        <w:trPr>
          <w:trHeight w:val="586"/>
        </w:trPr>
        <w:tc>
          <w:tcPr>
            <w:tcW w:w="4957" w:type="dxa"/>
            <w:shd w:val="clear" w:color="auto" w:fill="70AD47" w:themeFill="accent6"/>
          </w:tcPr>
          <w:p w:rsidR="003A0A8A" w:rsidRPr="00B80FB2" w:rsidRDefault="003A0A8A" w:rsidP="003A0A8A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B80F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 xml:space="preserve">Recuerdo alguna de las propuestas que hizo el partido ganador de las </w:t>
            </w:r>
            <w:r w:rsidR="00B80FB2" w:rsidRPr="00B80F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elecciones estudiantiles</w:t>
            </w:r>
          </w:p>
        </w:tc>
        <w:tc>
          <w:tcPr>
            <w:tcW w:w="5113" w:type="dxa"/>
            <w:shd w:val="clear" w:color="auto" w:fill="E2EFD9" w:themeFill="accent6" w:themeFillTint="33"/>
          </w:tcPr>
          <w:p w:rsidR="003A0A8A" w:rsidRDefault="003A0A8A" w:rsidP="003A0A8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3A0A8A" w:rsidRDefault="003A0A8A" w:rsidP="003A0A8A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B80FB2">
      <w:pPr>
        <w:spacing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  <w:lang w:eastAsia="es-CR"/>
        </w:rPr>
      </w:pPr>
      <w:r w:rsidRPr="00B80FB2">
        <w:rPr>
          <w:rFonts w:ascii="Calibri" w:eastAsia="Times New Roman" w:hAnsi="Calibri" w:cs="Calibri"/>
          <w:b/>
          <w:color w:val="000000"/>
          <w:sz w:val="28"/>
          <w:szCs w:val="24"/>
          <w:lang w:eastAsia="es-CR"/>
        </w:rPr>
        <w:t>¿Pudiste responder todas las interrogantes?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B80FB2" w:rsidTr="00B80FB2">
        <w:tc>
          <w:tcPr>
            <w:tcW w:w="6516" w:type="dxa"/>
          </w:tcPr>
          <w:p w:rsidR="00B80FB2" w:rsidRDefault="00B80FB2" w:rsidP="00B80FB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B80FB2" w:rsidRDefault="00B80FB2" w:rsidP="00B80FB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B80FB2" w:rsidRDefault="00B80FB2" w:rsidP="00B80FB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Si respondiste que sí, vas en buen camino para ejercer una ciudadanía bastante activa, si no pudiste responder alguna de las preguntas, probablemente haga falta ponerle un poco más de atención a los procesos de participación en nuestra Institución educativa.</w:t>
            </w:r>
          </w:p>
          <w:p w:rsidR="00B80FB2" w:rsidRDefault="00B80FB2" w:rsidP="00B80FB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B80FB2" w:rsidRDefault="00B80FB2" w:rsidP="00B80FB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1352550" cy="13525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edro se pregunta algo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FB2" w:rsidRDefault="00B80FB2" w:rsidP="00B80FB2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B80FB2" w:rsidRPr="007A14F3" w:rsidRDefault="00B80FB2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 xml:space="preserve">Fase de argumentación o planteamiento de posición o puntos de vista. </w:t>
      </w:r>
    </w:p>
    <w:p w:rsidR="007A14F3" w:rsidRP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417F88" w:rsidRDefault="002B241B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Construyamos juntos un ensayo, es decir, un texto en el que expresamos nuestra opinión, bien fundamentada y desarrollada sobre algún tema.</w:t>
      </w:r>
    </w:p>
    <w:p w:rsidR="002B241B" w:rsidRDefault="002B241B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2B241B" w:rsidTr="002B241B">
        <w:tc>
          <w:tcPr>
            <w:tcW w:w="2547" w:type="dxa"/>
          </w:tcPr>
          <w:p w:rsidR="002B241B" w:rsidRDefault="002B241B" w:rsidP="002B241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1343025" cy="134302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edro no se toca la cara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B241B" w:rsidRDefault="002B241B" w:rsidP="002B241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En esta ocasión vamos a elaborar nuestro ensayo acerca de la importancia de la participación de las personas jóvenes en los procesos electorales estudiantiles, escribir entre 100 y 150 palabras, será más que suficiente, podemos solicitar apoyo de nuestros parientes y amigos, claro, las consultas las podemos hacer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 o cualquier otro medio, y si las hacemos en persona, debemos guardar las distancias y cuidarnos todos.</w:t>
            </w:r>
          </w:p>
          <w:p w:rsidR="002B241B" w:rsidRDefault="002B241B" w:rsidP="002B241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038850" cy="449580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49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6C8A884" id="Rectángulo redondeado 16" o:spid="_x0000_s1026" style="position:absolute;margin-left:12pt;margin-top:1.85pt;width:475.5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" fillcolor="#e2efd9 [665]" strokecolor="#1f4d78 [1604]" strokeweight="1pt">
                <v:stroke joinstyle="miter"/>
              </v:roundrect>
            </w:pict>
          </mc:Fallback>
        </mc:AlternateContent>
      </w: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Pr="002B241B" w:rsidRDefault="002B241B" w:rsidP="002B241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A14F3" w:rsidRPr="007A14F3" w:rsidRDefault="007A14F3" w:rsidP="007A14F3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B241B" w:rsidRPr="002B241B" w:rsidRDefault="002B241B" w:rsidP="002B241B">
      <w:pPr>
        <w:pStyle w:val="Prrafodelista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2B241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propuesta para el mejoramiento y de compartir lo aprendido con alguna persona en la casa o por la web y de autoevaluación.</w:t>
      </w:r>
    </w:p>
    <w:p w:rsidR="002B241B" w:rsidRPr="007A14F3" w:rsidRDefault="002B241B" w:rsidP="002B241B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2B241B" w:rsidRPr="007B2269" w:rsidRDefault="002B241B" w:rsidP="002B241B">
      <w:pPr>
        <w:jc w:val="both"/>
        <w:rPr>
          <w:sz w:val="24"/>
        </w:rPr>
      </w:pPr>
      <w:r w:rsidRPr="007B2269">
        <w:rPr>
          <w:sz w:val="24"/>
        </w:rPr>
        <w:t xml:space="preserve">Estamos a punto de terminar este </w:t>
      </w:r>
      <w:r>
        <w:rPr>
          <w:sz w:val="24"/>
        </w:rPr>
        <w:t>espacio en el que reflexionamos sobre la participación de las personas jóvenes</w:t>
      </w:r>
      <w:r w:rsidRPr="007B2269">
        <w:rPr>
          <w:sz w:val="24"/>
        </w:rPr>
        <w:t xml:space="preserve">. No nos quedemos con la información solo para nosotros, compartamos con alguien cercano todo lo aprendido, </w:t>
      </w:r>
      <w:r>
        <w:rPr>
          <w:sz w:val="24"/>
        </w:rPr>
        <w:t>a</w:t>
      </w:r>
      <w:r w:rsidRPr="007B2269">
        <w:rPr>
          <w:noProof/>
          <w:sz w:val="24"/>
          <w:lang w:eastAsia="es-CR"/>
        </w:rPr>
        <w:t>notemos en este espacio cuatro cosas nuevas que aprendimos en esta guía de trabajo autónomo.</w:t>
      </w:r>
    </w:p>
    <w:p w:rsidR="002B241B" w:rsidRDefault="002B241B" w:rsidP="002B241B">
      <w:pPr>
        <w:rPr>
          <w:noProof/>
          <w:lang w:eastAsia="es-C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16BD0" wp14:editId="27F1C190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105525" cy="203835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38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D586D60" id="Rectángulo redondeado 18" o:spid="_x0000_s1026" style="position:absolute;margin-left:0;margin-top:9.65pt;width:480.75pt;height:160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" fillcolor="#e2efd9 [665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2B241B" w:rsidRDefault="002B241B" w:rsidP="002B241B">
      <w:pPr>
        <w:rPr>
          <w:noProof/>
          <w:lang w:eastAsia="es-CR"/>
        </w:rPr>
      </w:pPr>
    </w:p>
    <w:p w:rsidR="002B241B" w:rsidRDefault="002B241B" w:rsidP="002B241B">
      <w:pPr>
        <w:rPr>
          <w:noProof/>
          <w:lang w:eastAsia="es-CR"/>
        </w:rPr>
      </w:pPr>
    </w:p>
    <w:p w:rsidR="002B241B" w:rsidRDefault="002B241B" w:rsidP="002B241B">
      <w:pPr>
        <w:rPr>
          <w:noProof/>
          <w:lang w:eastAsia="es-CR"/>
        </w:rPr>
      </w:pPr>
    </w:p>
    <w:p w:rsidR="002B241B" w:rsidRDefault="002B241B" w:rsidP="002B241B">
      <w:pPr>
        <w:rPr>
          <w:noProof/>
          <w:lang w:eastAsia="es-CR"/>
        </w:rPr>
      </w:pPr>
    </w:p>
    <w:p w:rsidR="002B241B" w:rsidRDefault="002B241B" w:rsidP="002B241B">
      <w:pPr>
        <w:rPr>
          <w:noProof/>
          <w:lang w:eastAsia="es-CR"/>
        </w:rPr>
      </w:pPr>
    </w:p>
    <w:p w:rsidR="002B241B" w:rsidRDefault="002B241B" w:rsidP="002B241B">
      <w:pPr>
        <w:rPr>
          <w:noProof/>
          <w:lang w:eastAsia="es-CR"/>
        </w:rPr>
      </w:pPr>
    </w:p>
    <w:p w:rsidR="002B241B" w:rsidRDefault="002B241B" w:rsidP="002B241B">
      <w:pPr>
        <w:rPr>
          <w:noProof/>
          <w:lang w:eastAsia="es-CR"/>
        </w:rPr>
      </w:pPr>
    </w:p>
    <w:p w:rsidR="002B241B" w:rsidRPr="007B2269" w:rsidRDefault="002B241B" w:rsidP="002B241B">
      <w:pPr>
        <w:rPr>
          <w:b/>
          <w:noProof/>
          <w:sz w:val="24"/>
          <w:lang w:eastAsia="es-CR"/>
        </w:rPr>
      </w:pPr>
      <w:r w:rsidRPr="007B2269">
        <w:rPr>
          <w:b/>
          <w:noProof/>
          <w:sz w:val="24"/>
          <w:lang w:eastAsia="es-CR"/>
        </w:rPr>
        <w:t>Pedro tiene un último mensaje para nosotros…</w:t>
      </w:r>
    </w:p>
    <w:p w:rsidR="002B241B" w:rsidRDefault="002B241B" w:rsidP="002B241B">
      <w:pPr>
        <w:jc w:val="right"/>
        <w:rPr>
          <w:noProof/>
          <w:lang w:eastAsia="es-CR"/>
        </w:rPr>
      </w:pPr>
      <w:r>
        <w:rPr>
          <w:noProof/>
          <w:lang w:eastAsia="es-CR"/>
        </w:rPr>
        <w:drawing>
          <wp:inline distT="0" distB="0" distL="0" distR="0">
            <wp:extent cx="1647825" cy="16478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dro se queda en casa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241B" w:rsidRDefault="002B241B" w:rsidP="002B241B">
      <w:pPr>
        <w:spacing w:after="0"/>
      </w:pPr>
      <w:r>
        <w:rPr>
          <w:noProof/>
          <w:lang w:eastAsia="es-CR"/>
        </w:rPr>
        <w:t xml:space="preserve">Visitemos el siguiente enlace: </w:t>
      </w:r>
      <w:hyperlink r:id="rId19" w:history="1">
        <w:r>
          <w:rPr>
            <w:rStyle w:val="Hipervnculo"/>
          </w:rPr>
          <w:t>https://www.youtube.com/watch?v=su7KrrYVkSo</w:t>
        </w:r>
      </w:hyperlink>
    </w:p>
    <w:p w:rsidR="002B241B" w:rsidRDefault="002B241B" w:rsidP="002B241B">
      <w:pPr>
        <w:spacing w:after="0"/>
        <w:rPr>
          <w:noProof/>
          <w:lang w:eastAsia="es-CR"/>
        </w:rPr>
      </w:pPr>
    </w:p>
    <w:p w:rsidR="002B241B" w:rsidRDefault="002B241B" w:rsidP="002B241B">
      <w:pPr>
        <w:spacing w:after="0"/>
        <w:jc w:val="right"/>
        <w:rPr>
          <w:noProof/>
          <w:lang w:eastAsia="es-CR"/>
        </w:rPr>
      </w:pPr>
      <w:r>
        <w:rPr>
          <w:noProof/>
          <w:lang w:eastAsia="es-CR"/>
        </w:rPr>
        <w:t xml:space="preserve">Guía elaborada por </w:t>
      </w:r>
    </w:p>
    <w:p w:rsidR="002B241B" w:rsidRDefault="002B241B" w:rsidP="002B241B">
      <w:pPr>
        <w:spacing w:after="0"/>
        <w:jc w:val="right"/>
        <w:rPr>
          <w:noProof/>
          <w:lang w:eastAsia="es-CR"/>
        </w:rPr>
      </w:pPr>
      <w:r>
        <w:rPr>
          <w:noProof/>
          <w:lang w:eastAsia="es-CR"/>
        </w:rPr>
        <w:t>Danilo Scriba Pasos</w:t>
      </w:r>
    </w:p>
    <w:p w:rsidR="002B241B" w:rsidRDefault="002B241B" w:rsidP="002B241B">
      <w:pPr>
        <w:spacing w:after="0"/>
        <w:jc w:val="right"/>
        <w:rPr>
          <w:noProof/>
          <w:lang w:eastAsia="es-CR"/>
        </w:rPr>
      </w:pPr>
      <w:r>
        <w:rPr>
          <w:noProof/>
          <w:lang w:eastAsia="es-CR"/>
        </w:rPr>
        <w:t>Asesor Regional de Educación Cívica, Limón.</w:t>
      </w:r>
    </w:p>
    <w:p w:rsidR="000E3EE9" w:rsidRDefault="000E3EE9" w:rsidP="000C78AF"/>
    <w:p w:rsidR="000E3EE9" w:rsidRPr="00BC00AD" w:rsidRDefault="000E3EE9" w:rsidP="000C78AF">
      <w:pPr>
        <w:rPr>
          <w:b/>
        </w:rPr>
      </w:pPr>
      <w:r w:rsidRPr="00BC00AD">
        <w:rPr>
          <w:b/>
        </w:rPr>
        <w:t>Referencias:</w:t>
      </w:r>
    </w:p>
    <w:p w:rsidR="000E3EE9" w:rsidRDefault="00B34DAE" w:rsidP="000C78AF">
      <w:hyperlink r:id="rId20" w:history="1">
        <w:r w:rsidR="000E3EE9">
          <w:rPr>
            <w:rStyle w:val="Hipervnculo"/>
          </w:rPr>
          <w:t>https://www.significados.com/ciudadania/</w:t>
        </w:r>
      </w:hyperlink>
    </w:p>
    <w:p w:rsidR="003D18D9" w:rsidRDefault="00B34DAE" w:rsidP="000C78AF">
      <w:hyperlink r:id="rId21" w:history="1">
        <w:r w:rsidR="003D18D9">
          <w:rPr>
            <w:rStyle w:val="Hipervnculo"/>
          </w:rPr>
          <w:t>https://www.youtube.com/watch?v=zpOhVVz7wBs</w:t>
        </w:r>
      </w:hyperlink>
    </w:p>
    <w:p w:rsidR="003D18D9" w:rsidRDefault="00B34DAE" w:rsidP="000C78AF">
      <w:hyperlink r:id="rId22" w:history="1">
        <w:r w:rsidR="003D18D9">
          <w:rPr>
            <w:rStyle w:val="Hipervnculo"/>
          </w:rPr>
          <w:t>http://www.vidaestudiantil.mep.go.cr/gobierno-estudiantil</w:t>
        </w:r>
      </w:hyperlink>
    </w:p>
    <w:p w:rsidR="00BC00AD" w:rsidRPr="000C78AF" w:rsidRDefault="00B34DAE" w:rsidP="000C78AF">
      <w:hyperlink r:id="rId23" w:history="1">
        <w:r w:rsidR="00BC00AD">
          <w:rPr>
            <w:rStyle w:val="Hipervnculo"/>
          </w:rPr>
          <w:t>https://www.youtube.com/watch?v=su7KrrYVkSo</w:t>
        </w:r>
      </w:hyperlink>
    </w:p>
    <w:sectPr w:rsidR="00BC00AD" w:rsidRPr="000C78AF" w:rsidSect="006F2510">
      <w:head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AE" w:rsidRDefault="00B34DAE" w:rsidP="00696C1E">
      <w:pPr>
        <w:spacing w:after="0" w:line="240" w:lineRule="auto"/>
      </w:pPr>
      <w:r>
        <w:separator/>
      </w:r>
    </w:p>
  </w:endnote>
  <w:endnote w:type="continuationSeparator" w:id="0">
    <w:p w:rsidR="00B34DAE" w:rsidRDefault="00B34DA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AE" w:rsidRDefault="00B34DAE" w:rsidP="00696C1E">
      <w:pPr>
        <w:spacing w:after="0" w:line="240" w:lineRule="auto"/>
      </w:pPr>
      <w:r>
        <w:separator/>
      </w:r>
    </w:p>
  </w:footnote>
  <w:footnote w:type="continuationSeparator" w:id="0">
    <w:p w:rsidR="00B34DAE" w:rsidRDefault="00B34DA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31" w:rsidRDefault="008F0870" w:rsidP="000C78AF">
    <w:pPr>
      <w:pStyle w:val="Encabezado"/>
      <w:jc w:val="center"/>
      <w:rPr>
        <w:b/>
      </w:rPr>
    </w:pPr>
    <w:r w:rsidRPr="007A14F3">
      <w:rPr>
        <w:b/>
        <w:noProof/>
        <w:lang w:eastAsia="es-CR"/>
      </w:rPr>
      <w:drawing>
        <wp:anchor distT="0" distB="0" distL="114300" distR="114300" simplePos="0" relativeHeight="251659264" behindDoc="0" locked="0" layoutInCell="1" allowOverlap="1" wp14:anchorId="2979D2FE" wp14:editId="41A02FD7">
          <wp:simplePos x="0" y="0"/>
          <wp:positionH relativeFrom="column">
            <wp:posOffset>2647950</wp:posOffset>
          </wp:positionH>
          <wp:positionV relativeFrom="paragraph">
            <wp:posOffset>-429260</wp:posOffset>
          </wp:positionV>
          <wp:extent cx="873125" cy="93345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1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731" w:rsidRDefault="008F0870" w:rsidP="000C78AF">
    <w:pPr>
      <w:pStyle w:val="Encabezado"/>
      <w:jc w:val="center"/>
      <w:rPr>
        <w:b/>
      </w:rPr>
    </w:pPr>
    <w:r w:rsidRPr="00696C1E"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23FBFFEB" wp14:editId="159595DE">
          <wp:simplePos x="0" y="0"/>
          <wp:positionH relativeFrom="page">
            <wp:align>right</wp:align>
          </wp:positionH>
          <wp:positionV relativeFrom="paragraph">
            <wp:posOffset>303530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870" w:rsidRPr="00615833" w:rsidRDefault="008F0870" w:rsidP="008F0870">
    <w:pPr>
      <w:pStyle w:val="Encabezado1"/>
      <w:jc w:val="center"/>
      <w:rPr>
        <w:rFonts w:ascii="Arial Rounded MT Bold" w:hAnsi="Arial Rounded MT Bold"/>
        <w:noProof/>
      </w:rPr>
    </w:pPr>
    <w:r w:rsidRPr="00615833">
      <w:rPr>
        <w:rFonts w:ascii="Arial Rounded MT Bold" w:hAnsi="Arial Rounded MT Bold"/>
        <w:noProof/>
      </w:rPr>
      <w:t>MINISTERIO DE EDUCACIÓN PÚBLICA</w:t>
    </w:r>
  </w:p>
  <w:p w:rsidR="008F0870" w:rsidRPr="00407471" w:rsidRDefault="008F0870" w:rsidP="008F0870">
    <w:pPr>
      <w:pStyle w:val="Encabezado1"/>
      <w:jc w:val="center"/>
      <w:rPr>
        <w:rFonts w:ascii="Arial Rounded MT Std" w:hAnsi="Arial Rounded MT Std"/>
        <w:sz w:val="24"/>
        <w:szCs w:val="27"/>
      </w:rPr>
    </w:pPr>
    <w:r w:rsidRPr="00407471">
      <w:rPr>
        <w:rFonts w:ascii="Arial Rounded MT Std" w:hAnsi="Arial Rounded MT Std"/>
        <w:sz w:val="24"/>
        <w:szCs w:val="27"/>
      </w:rPr>
      <w:t>Viceministerio Académico</w:t>
    </w:r>
  </w:p>
  <w:p w:rsidR="008F0870" w:rsidRDefault="008F0870" w:rsidP="008F0870">
    <w:pPr>
      <w:pStyle w:val="Encabezado"/>
      <w:jc w:val="center"/>
      <w:rPr>
        <w:noProof/>
        <w:lang w:eastAsia="es-CR"/>
      </w:rPr>
    </w:pPr>
    <w:r w:rsidRPr="007C72BA">
      <w:rPr>
        <w:rFonts w:ascii="Arial Rounded MT Std" w:hAnsi="Arial Rounded MT Std"/>
        <w:b/>
        <w:sz w:val="24"/>
      </w:rPr>
      <w:t>Dirección de Desarrollo Curricular</w:t>
    </w:r>
  </w:p>
  <w:p w:rsidR="008F0870" w:rsidRPr="000C78AF" w:rsidRDefault="008F0870" w:rsidP="008F0870">
    <w:pPr>
      <w:pStyle w:val="Encabezado"/>
      <w:jc w:val="center"/>
      <w:rPr>
        <w:b/>
      </w:rPr>
    </w:pPr>
    <w:r w:rsidRPr="009C46DF">
      <w:rPr>
        <w:b/>
        <w:noProof/>
        <w:lang w:eastAsia="es-CR"/>
      </w:rPr>
      <w:t>DEPARTAMENTO TERCER CICLO Y EDUCACIÓN DIVERSIFICADA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A42"/>
    <w:multiLevelType w:val="hybridMultilevel"/>
    <w:tmpl w:val="58E83A28"/>
    <w:lvl w:ilvl="0" w:tplc="65201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055E"/>
    <w:multiLevelType w:val="hybridMultilevel"/>
    <w:tmpl w:val="B8A08862"/>
    <w:lvl w:ilvl="0" w:tplc="1A44E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E93"/>
    <w:multiLevelType w:val="hybridMultilevel"/>
    <w:tmpl w:val="FBEADA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8374FF"/>
    <w:multiLevelType w:val="hybridMultilevel"/>
    <w:tmpl w:val="44805988"/>
    <w:lvl w:ilvl="0" w:tplc="BEC2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1D99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5E49"/>
    <w:multiLevelType w:val="hybridMultilevel"/>
    <w:tmpl w:val="CDC473E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6DED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B1083"/>
    <w:multiLevelType w:val="hybridMultilevel"/>
    <w:tmpl w:val="5374213E"/>
    <w:lvl w:ilvl="0" w:tplc="508CA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0F18"/>
    <w:rsid w:val="00046628"/>
    <w:rsid w:val="000C78AF"/>
    <w:rsid w:val="000E3EE9"/>
    <w:rsid w:val="001140E4"/>
    <w:rsid w:val="00114B8D"/>
    <w:rsid w:val="00117EE0"/>
    <w:rsid w:val="002B241B"/>
    <w:rsid w:val="00320BE8"/>
    <w:rsid w:val="003848BF"/>
    <w:rsid w:val="003A0A8A"/>
    <w:rsid w:val="003D18D9"/>
    <w:rsid w:val="003E6E12"/>
    <w:rsid w:val="00417F88"/>
    <w:rsid w:val="00430233"/>
    <w:rsid w:val="0046550E"/>
    <w:rsid w:val="004F2370"/>
    <w:rsid w:val="005755D4"/>
    <w:rsid w:val="0058256B"/>
    <w:rsid w:val="00584786"/>
    <w:rsid w:val="005F2C06"/>
    <w:rsid w:val="0060692C"/>
    <w:rsid w:val="00624CFA"/>
    <w:rsid w:val="0065075A"/>
    <w:rsid w:val="006732E2"/>
    <w:rsid w:val="00696C1E"/>
    <w:rsid w:val="006F2510"/>
    <w:rsid w:val="00707FE7"/>
    <w:rsid w:val="00716F2A"/>
    <w:rsid w:val="007202E8"/>
    <w:rsid w:val="0075197C"/>
    <w:rsid w:val="00760B4A"/>
    <w:rsid w:val="00762834"/>
    <w:rsid w:val="007A14F3"/>
    <w:rsid w:val="007A3087"/>
    <w:rsid w:val="00814B6A"/>
    <w:rsid w:val="008B281D"/>
    <w:rsid w:val="008C65A5"/>
    <w:rsid w:val="008D1300"/>
    <w:rsid w:val="008D5D67"/>
    <w:rsid w:val="008F0870"/>
    <w:rsid w:val="008F6A8E"/>
    <w:rsid w:val="009F4FC8"/>
    <w:rsid w:val="00A51FE6"/>
    <w:rsid w:val="00AB4465"/>
    <w:rsid w:val="00AB6B54"/>
    <w:rsid w:val="00B34DAE"/>
    <w:rsid w:val="00B50634"/>
    <w:rsid w:val="00B73143"/>
    <w:rsid w:val="00B80FB2"/>
    <w:rsid w:val="00BA5B7C"/>
    <w:rsid w:val="00BC00AD"/>
    <w:rsid w:val="00C11E02"/>
    <w:rsid w:val="00C43AAF"/>
    <w:rsid w:val="00C45B34"/>
    <w:rsid w:val="00CB1367"/>
    <w:rsid w:val="00D02912"/>
    <w:rsid w:val="00D06A16"/>
    <w:rsid w:val="00D11731"/>
    <w:rsid w:val="00D60D18"/>
    <w:rsid w:val="00D83BF6"/>
    <w:rsid w:val="00D95800"/>
    <w:rsid w:val="00DA29A2"/>
    <w:rsid w:val="00DB67BA"/>
    <w:rsid w:val="00E6198B"/>
    <w:rsid w:val="00EE4CC9"/>
    <w:rsid w:val="00EF2C1F"/>
    <w:rsid w:val="00EF73BD"/>
    <w:rsid w:val="00F02072"/>
    <w:rsid w:val="00F16C2B"/>
    <w:rsid w:val="00F61C46"/>
    <w:rsid w:val="00F76A19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customStyle="1" w:styleId="Encabezado1">
    <w:name w:val="Encabezado1"/>
    <w:basedOn w:val="Normal"/>
    <w:next w:val="Encabezado"/>
    <w:uiPriority w:val="99"/>
    <w:unhideWhenUsed/>
    <w:rsid w:val="000C78AF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E3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pOhVVz7wB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significados.com/ciudadan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pOhVVz7wB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idaestudiantil.mep.go.cr/gobierno-estudiantil" TargetMode="External"/><Relationship Id="rId23" Type="http://schemas.openxmlformats.org/officeDocument/2006/relationships/hyperlink" Target="https://www.youtube.com/watch?v=su7KrrYVkS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su7KrrYVkS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vidaestudiantil.mep.go.cr/gobierno-estudiant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E210-CEB7-4023-B246-86647AF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Gateway</cp:lastModifiedBy>
  <cp:revision>5</cp:revision>
  <dcterms:created xsi:type="dcterms:W3CDTF">2020-04-17T15:14:00Z</dcterms:created>
  <dcterms:modified xsi:type="dcterms:W3CDTF">2020-04-17T20:42:00Z</dcterms:modified>
</cp:coreProperties>
</file>